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227DD8">
      <w:pPr>
        <w:spacing w:before="120" w:after="120" w:line="480" w:lineRule="auto"/>
        <w:ind w:firstLine="883" w:firstLineChars="200"/>
        <w:jc w:val="center"/>
        <w:outlineLvl w:val="0"/>
        <w:rPr>
          <w:rFonts w:ascii="仿宋_GB2312" w:hAnsi="Arial"/>
          <w:b/>
          <w:sz w:val="44"/>
          <w:szCs w:val="44"/>
        </w:rPr>
      </w:pPr>
      <w:bookmarkStart w:id="0" w:name="_GoBack"/>
      <w:bookmarkEnd w:id="0"/>
    </w:p>
    <w:p w14:paraId="63054EF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1C2D9A11">
      <w:pPr>
        <w:spacing w:line="700" w:lineRule="exact"/>
        <w:ind w:firstLine="1040" w:firstLineChars="200"/>
        <w:jc w:val="center"/>
        <w:rPr>
          <w:rFonts w:ascii="方正大标宋简体" w:hAnsi="华文中宋" w:eastAsia="方正大标宋简体" w:cs="宋体"/>
          <w:kern w:val="0"/>
          <w:sz w:val="52"/>
          <w:szCs w:val="52"/>
        </w:rPr>
      </w:pPr>
    </w:p>
    <w:p w14:paraId="5D4355DC">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3ECC627E">
      <w:pPr>
        <w:spacing w:line="540" w:lineRule="exact"/>
        <w:ind w:firstLine="600" w:firstLineChars="200"/>
        <w:jc w:val="center"/>
        <w:rPr>
          <w:rFonts w:hAnsi="宋体" w:cs="宋体"/>
          <w:kern w:val="0"/>
          <w:sz w:val="30"/>
          <w:szCs w:val="30"/>
        </w:rPr>
      </w:pPr>
    </w:p>
    <w:p w14:paraId="436C0A1D">
      <w:pPr>
        <w:spacing w:line="540" w:lineRule="exact"/>
        <w:ind w:firstLine="600" w:firstLineChars="200"/>
        <w:jc w:val="center"/>
        <w:rPr>
          <w:rFonts w:hAnsi="宋体" w:cs="宋体"/>
          <w:kern w:val="0"/>
          <w:sz w:val="30"/>
          <w:szCs w:val="30"/>
        </w:rPr>
      </w:pPr>
    </w:p>
    <w:p w14:paraId="0807F489">
      <w:pPr>
        <w:spacing w:line="540" w:lineRule="exact"/>
        <w:ind w:firstLine="600" w:firstLineChars="200"/>
        <w:jc w:val="center"/>
        <w:rPr>
          <w:rFonts w:hAnsi="宋体" w:cs="宋体"/>
          <w:kern w:val="0"/>
          <w:sz w:val="30"/>
          <w:szCs w:val="30"/>
        </w:rPr>
      </w:pPr>
    </w:p>
    <w:p w14:paraId="248CADC2">
      <w:pPr>
        <w:spacing w:line="540" w:lineRule="exact"/>
        <w:ind w:firstLine="600" w:firstLineChars="200"/>
        <w:jc w:val="center"/>
        <w:rPr>
          <w:rFonts w:hAnsi="宋体" w:cs="宋体"/>
          <w:kern w:val="0"/>
          <w:sz w:val="30"/>
          <w:szCs w:val="30"/>
        </w:rPr>
      </w:pPr>
    </w:p>
    <w:p w14:paraId="1881BEEC">
      <w:pPr>
        <w:spacing w:line="540" w:lineRule="exact"/>
        <w:ind w:firstLine="600" w:firstLineChars="200"/>
        <w:rPr>
          <w:rFonts w:hAnsi="宋体" w:cs="宋体"/>
          <w:kern w:val="0"/>
          <w:sz w:val="30"/>
          <w:szCs w:val="30"/>
        </w:rPr>
      </w:pPr>
    </w:p>
    <w:p w14:paraId="3A1CA042">
      <w:pPr>
        <w:spacing w:line="540" w:lineRule="exact"/>
        <w:ind w:firstLine="600" w:firstLineChars="200"/>
        <w:rPr>
          <w:rFonts w:hAnsi="宋体" w:cs="宋体"/>
          <w:kern w:val="0"/>
          <w:sz w:val="30"/>
          <w:szCs w:val="30"/>
        </w:rPr>
      </w:pPr>
    </w:p>
    <w:p w14:paraId="7D96BF6B">
      <w:pPr>
        <w:spacing w:line="360" w:lineRule="auto"/>
        <w:ind w:left="640" w:leftChars="200" w:firstLine="640" w:firstLineChars="200"/>
        <w:rPr>
          <w:rFonts w:ascii="仿宋" w:hAnsi="仿宋" w:eastAsia="仿宋" w:cs="仿宋"/>
          <w:szCs w:val="32"/>
        </w:rPr>
      </w:pPr>
    </w:p>
    <w:p w14:paraId="7C47A112">
      <w:pPr>
        <w:spacing w:line="360" w:lineRule="auto"/>
        <w:ind w:left="640" w:leftChars="200" w:firstLine="640" w:firstLineChars="200"/>
        <w:rPr>
          <w:rFonts w:ascii="仿宋" w:hAnsi="仿宋" w:eastAsia="仿宋" w:cs="仿宋"/>
          <w:szCs w:val="32"/>
        </w:rPr>
      </w:pPr>
    </w:p>
    <w:p w14:paraId="4D5F0F36">
      <w:pPr>
        <w:spacing w:line="560" w:lineRule="exact"/>
        <w:ind w:left="640" w:leftChars="200" w:firstLine="640" w:firstLineChars="200"/>
        <w:rPr>
          <w:rFonts w:ascii="仿宋" w:hAnsi="仿宋" w:eastAsia="仿宋" w:cs="仿宋"/>
          <w:szCs w:val="32"/>
        </w:rPr>
      </w:pPr>
    </w:p>
    <w:p w14:paraId="277751CD">
      <w:pPr>
        <w:spacing w:line="58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  目  名  称:</w:t>
      </w:r>
      <w:r>
        <w:rPr>
          <w:rFonts w:hint="eastAsia" w:ascii="仿宋" w:hAnsi="仿宋" w:eastAsia="仿宋" w:cs="仿宋"/>
          <w:szCs w:val="32"/>
          <w:lang w:val="en-US" w:eastAsia="zh-CN"/>
        </w:rPr>
        <w:t>于田县2025年粮食产能提升项目阿热勒段场外水利骨干配套工程（二期）</w:t>
      </w:r>
    </w:p>
    <w:p w14:paraId="50272AD3">
      <w:pPr>
        <w:spacing w:line="580" w:lineRule="exact"/>
        <w:ind w:firstLine="640" w:firstLineChars="200"/>
        <w:rPr>
          <w:rFonts w:ascii="仿宋" w:hAnsi="仿宋" w:eastAsia="仿宋" w:cs="仿宋"/>
          <w:szCs w:val="32"/>
        </w:rPr>
      </w:pPr>
      <w:r>
        <w:rPr>
          <w:rFonts w:hint="eastAsia" w:ascii="仿宋" w:hAnsi="仿宋" w:eastAsia="仿宋" w:cs="仿宋"/>
          <w:szCs w:val="32"/>
        </w:rPr>
        <w:t>实施单位(公章):</w:t>
      </w:r>
      <w:r>
        <w:rPr>
          <w:rFonts w:hint="eastAsia"/>
        </w:rPr>
        <w:t xml:space="preserve"> </w:t>
      </w:r>
      <w:r>
        <w:rPr>
          <w:rFonts w:hint="eastAsia" w:ascii="仿宋" w:hAnsi="仿宋" w:eastAsia="仿宋" w:cs="仿宋"/>
          <w:szCs w:val="32"/>
        </w:rPr>
        <w:t>于田县水利局</w:t>
      </w:r>
    </w:p>
    <w:p w14:paraId="4FC6A34F">
      <w:pPr>
        <w:spacing w:line="580" w:lineRule="exact"/>
        <w:ind w:firstLine="640" w:firstLineChars="200"/>
        <w:rPr>
          <w:rFonts w:ascii="仿宋" w:hAnsi="仿宋" w:eastAsia="仿宋" w:cs="仿宋"/>
          <w:szCs w:val="32"/>
        </w:rPr>
      </w:pPr>
      <w:r>
        <w:rPr>
          <w:rFonts w:hint="eastAsia" w:ascii="仿宋" w:hAnsi="仿宋" w:eastAsia="仿宋" w:cs="仿宋"/>
          <w:szCs w:val="32"/>
        </w:rPr>
        <w:t>主管部门(公章):于田</w:t>
      </w:r>
      <w:r>
        <w:rPr>
          <w:rFonts w:ascii="仿宋" w:hAnsi="仿宋" w:eastAsia="仿宋" w:cs="仿宋"/>
          <w:szCs w:val="32"/>
        </w:rPr>
        <w:t>县</w:t>
      </w:r>
      <w:r>
        <w:rPr>
          <w:rFonts w:hint="eastAsia" w:ascii="仿宋" w:hAnsi="仿宋" w:eastAsia="仿宋" w:cs="仿宋"/>
          <w:szCs w:val="32"/>
        </w:rPr>
        <w:t>水利局</w:t>
      </w:r>
    </w:p>
    <w:p w14:paraId="33DD4F87">
      <w:pPr>
        <w:spacing w:line="58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董江伟</w:t>
      </w:r>
    </w:p>
    <w:p w14:paraId="57D29BA9">
      <w:pPr>
        <w:spacing w:line="58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19</w:t>
      </w:r>
      <w:r>
        <w:rPr>
          <w:rFonts w:ascii="仿宋" w:hAnsi="仿宋" w:eastAsia="仿宋" w:cs="仿宋"/>
          <w:szCs w:val="32"/>
        </w:rPr>
        <w:t>日</w:t>
      </w:r>
    </w:p>
    <w:p w14:paraId="1189890F">
      <w:pPr>
        <w:spacing w:line="560" w:lineRule="exact"/>
        <w:ind w:firstLine="640" w:firstLineChars="200"/>
        <w:rPr>
          <w:rFonts w:ascii="仿宋_GB2312" w:hAnsi="仿宋_GB2312" w:cs="仿宋_GB2312"/>
          <w:kern w:val="0"/>
          <w:szCs w:val="32"/>
          <w:lang w:bidi="en-US"/>
        </w:rPr>
      </w:pPr>
    </w:p>
    <w:p w14:paraId="456895A3">
      <w:pPr>
        <w:spacing w:line="560" w:lineRule="exact"/>
        <w:ind w:firstLine="640" w:firstLineChars="200"/>
        <w:rPr>
          <w:rFonts w:ascii="仿宋_GB2312" w:hAnsi="仿宋_GB2312" w:cs="仿宋_GB2312"/>
          <w:kern w:val="0"/>
          <w:szCs w:val="32"/>
          <w:lang w:bidi="en-US"/>
        </w:rPr>
      </w:pPr>
    </w:p>
    <w:p w14:paraId="643EE930">
      <w:pPr>
        <w:spacing w:line="360" w:lineRule="auto"/>
        <w:ind w:firstLine="627" w:firstLineChars="200"/>
        <w:rPr>
          <w:rStyle w:val="19"/>
          <w:rFonts w:ascii="黑体" w:hAnsi="黑体" w:eastAsia="黑体" w:cs="Times New Roman"/>
          <w:spacing w:val="-4"/>
          <w:szCs w:val="32"/>
        </w:rPr>
      </w:pPr>
    </w:p>
    <w:p w14:paraId="15DF1260">
      <w:pPr>
        <w:spacing w:line="360" w:lineRule="auto"/>
        <w:ind w:firstLine="627" w:firstLineChars="200"/>
        <w:rPr>
          <w:rFonts w:hint="eastAsia" w:ascii="楷体_GB2312" w:hAnsi="楷体" w:cs="Times New Roman"/>
          <w:b/>
          <w:spacing w:val="-4"/>
          <w:sz w:val="32"/>
          <w:szCs w:val="36"/>
        </w:rPr>
      </w:pPr>
      <w:r>
        <w:rPr>
          <w:rFonts w:hint="eastAsia" w:ascii="楷体_GB2312" w:hAnsi="楷体" w:cs="Times New Roman"/>
          <w:b/>
          <w:spacing w:val="-4"/>
          <w:sz w:val="32"/>
          <w:szCs w:val="36"/>
        </w:rPr>
        <w:t>一、绩效目标分解下达情况</w:t>
      </w:r>
    </w:p>
    <w:p w14:paraId="6ED8382C">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4EB7E608">
      <w:pPr>
        <w:pStyle w:val="52"/>
        <w:ind w:left="3" w:right="3" w:firstLine="562"/>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1.下达预算情况</w:t>
      </w:r>
    </w:p>
    <w:p w14:paraId="39987E38">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根据于田县2025年粮食产能提升项目阿热勒段场外水利骨干配套工程（二期）初步设计报告的批复》（于发改项目〔2024〕96号）文批复立项实施，于田县2025年粮食产能提升项目阿热勒段场外水利骨干配套工程（二期）预算安排总额为29557.60万元，其中：乡村振兴资金5380.6万元，其他资金24177.00万元。预算资金到位率为100%。</w:t>
      </w:r>
    </w:p>
    <w:p w14:paraId="79CDAE6E">
      <w:pPr>
        <w:pStyle w:val="52"/>
        <w:numPr>
          <w:ilvl w:val="0"/>
          <w:numId w:val="0"/>
        </w:numPr>
        <w:ind w:leftChars="201" w:right="3" w:rightChars="1"/>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2.项目实施背景</w:t>
      </w:r>
    </w:p>
    <w:p w14:paraId="649F0BDB">
      <w:pPr>
        <w:pStyle w:val="52"/>
        <w:numPr>
          <w:ilvl w:val="0"/>
          <w:numId w:val="0"/>
        </w:numPr>
        <w:ind w:right="3" w:rightChars="1"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贯彻落实习近平总书记关于粮食安全的一系列重要批示指示讲话精神，全面落实好2020年12月28日习近平总书记在中央农村工作会议讲话精神：地方各级党委、政府要扛起粮食安全的政治责任，实行党政同责。围绕粮食安全和有效供给保障，强化中央、自治区各项政策措施落实，实施好“藏粮于地、藏粮于技”战略，适度增加粮食播种面积，稳步提高粮食综合生产能力。</w:t>
      </w:r>
    </w:p>
    <w:p w14:paraId="2134D7A3">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sz w:val="32"/>
          <w:szCs w:val="32"/>
          <w:lang w:val="en-US" w:eastAsia="zh-CN"/>
        </w:rPr>
        <w:t>2022 年《中共中央国务院关于做好 2022 年全面推进乡村振兴重点工作的意见》（即 2022 年中央一号文）指出：全力抓好粮食生产和重要农产品供给，稳定全年粮食播种面积和产量。坚持中国人的饭碗任何时候都要牢牢端在自己手中，饭碗主要装</w:t>
      </w:r>
      <w:r>
        <w:rPr>
          <w:rFonts w:hint="eastAsia" w:ascii="仿宋" w:hAnsi="仿宋" w:eastAsia="仿宋" w:cs="仿宋"/>
          <w:color w:val="auto"/>
          <w:kern w:val="2"/>
          <w:sz w:val="32"/>
          <w:szCs w:val="32"/>
          <w:lang w:val="en-US" w:eastAsia="zh-CN" w:bidi="ar-SA"/>
        </w:rPr>
        <w:t>中国粮食，全面落实粮食安全党政同责，严格粮食安全责任制考核，确保粮食播种面积稳定、产量保持在 1.3 万亿斤以上。主产区、主销区、产销平衡区都要保面积、保产量，不断提高主产区粮食综合生产能力，切实稳定和提高主销区粮食自给率，确保产销平衡区粮食基本自给。推进国家粮食安全产业带建设。大力开展绿色高质高效行动，深入实施优质粮食工程，提升粮食单产和品质。</w:t>
      </w:r>
    </w:p>
    <w:p w14:paraId="4E18E5AB">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为保障粮食安全，提升粮食产能，和田地委行署主要领导高度重视、亲自部署安排，地委行署分管领导多次召开工作推进会和研讨会，成立工作机制，全面推进。2022 年 5 月开始水资源和新增土地利用研究工作，2022 年 8 月，地委行署分管领导多次带队赴各县（市）调研指导推动，听取县（市）前期工作开展情况，对县（市）提出的问题进行了解答和指导。目前，各县（市）已委托规划设计单位开展前期工作，场外水利工程和田间基础设施设计同步开展，部分项目已开始实施。统筹新增机动用水用地提升粮食产能建设重点要素，围绕“水在哪儿、地在哪儿、种植结构、钱在哪儿、怎么运营管理、人员安置”等六个方面开展相关工作。</w:t>
      </w:r>
    </w:p>
    <w:p w14:paraId="4C8A1EA3">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贯彻落实中央农村工作会议精神，特别是习近平总书记重要讲话精神，充分挖掘新疆各地水资源潜力，盘活利用好耕地资源增加粮食种植，为实施国家新一轮千亿斤粮食产能提升行动贡献新疆力量。根据自治区及和田地区行署对本规划的时限要求，规划期限为3年，即2023 年-2025 年。于田县粮食产能提升工程总体规划（2023 年-2025 年）新增土地总面积 15.3 万亩，主要分布在昆仑灌区和奥依托格拉克灌区。根据区域布局及投资计划，分年度实施分别为：于田县 2023年计划实施补充耕地 3.2 万亩；于田县 2024 年计划实施兵地融合新增用水用地4.9 万亩；于田县 2025 年计划新增用水用地 7.1 万亩，其中本项目计划新增用水用地 3.3 万亩。建设内容分为场外水利工程和场内田间基础设施建设。</w:t>
      </w:r>
    </w:p>
    <w:p w14:paraId="5CF703FD">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由于上述原因开展于田县2025年粮食产能提升项目阿热勒段场外水利骨干配套工程（二期），本项目由于田县水利局主管，于田县水务服务中心负责实施，项目施工期为2024年07月-2024年10月。</w:t>
      </w:r>
    </w:p>
    <w:p w14:paraId="695FDFA3">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工程实施后，有效带动了产业发展，示范工程取得较好效果，群众在搬迁中得到实惠，并为农民务工创造了便利条件，进而推进于田县阿羌乡乡村振兴的步伐。</w:t>
      </w:r>
    </w:p>
    <w:p w14:paraId="72E8373A">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3、项目实施依据及范围</w:t>
      </w:r>
    </w:p>
    <w:p w14:paraId="4FECE126">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于田县2025年粮食产能提升项目阿热勒段场外水利骨干配套工程（二期），根据于田县发展和改革委员会下发的《关于对于田县于田县2025年粮食产能提升项目阿热勒段场外水利骨干配套工程（二期）初步设计报告的批复》（于发改项目〔2024〕96号）初步设计报告，实施范围涉及1个行政村即阿热勒乡万方村。建设内容：改建阿羌干渠长度8.41千米，新建阿羌干渠延伸段渠道长度10.919千米，调蓄沉沙池引水渠长度1.55千米，新建720万立方米预沉池(条形沉沙池）1座，新建灌区输水主干管长度8.01千米。促进灌区社会经济持续发展，提高和改善人民生活水平。</w:t>
      </w:r>
    </w:p>
    <w:p w14:paraId="54A6DD64">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4、项目基本性质及类别</w:t>
      </w:r>
    </w:p>
    <w:p w14:paraId="18ECEF33">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于田县2025年粮食产能提升项目阿热勒段场外水利骨干配套工程（二期），属于水利工程建设项目。</w:t>
      </w:r>
    </w:p>
    <w:p w14:paraId="2D36C409">
      <w:pPr>
        <w:pStyle w:val="52"/>
        <w:spacing w:line="560" w:lineRule="exact"/>
        <w:ind w:left="3" w:right="3" w:firstLine="562"/>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（二）财政专项乡村振兴衔接资金项目绩效目标设定情况</w:t>
      </w:r>
    </w:p>
    <w:p w14:paraId="3D58815F">
      <w:pPr>
        <w:pStyle w:val="52"/>
        <w:spacing w:line="560" w:lineRule="exact"/>
        <w:ind w:left="3" w:right="3" w:firstLine="562"/>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1.项目绩效总体目标</w:t>
      </w:r>
    </w:p>
    <w:p w14:paraId="2C6413D1">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于田县于田县2025年粮食产能提升项目阿热勒段场外水利骨干配套工程（二期）总投资29557.60万元，申请乡村振兴衔接资金，自治区财政专项资金及其他资金。改建阿羌干渠长度8.41千米，新建阿羌干渠延伸段渠道长度10.919千米，调蓄沉沙池引水渠长度1.55千米，新建720万立方米预沉池(条形沉沙池）1座，新建灌区输水主干管长度8.01千米。促进灌区社会经济持续发展，提高和改善人民生活水平。</w:t>
      </w:r>
    </w:p>
    <w:p w14:paraId="1A5E5F4C">
      <w:pPr>
        <w:pStyle w:val="52"/>
        <w:spacing w:line="560" w:lineRule="exact"/>
        <w:ind w:left="0" w:leftChars="0" w:right="3"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2.具体绩效指标</w:t>
      </w:r>
    </w:p>
    <w:p w14:paraId="1FC56D4D">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根据《自治区财政专项扶贫资金绩效管理操作指南》（新财预〔2019〕170号）的规定，结合项目具体情况，本项目共设置一级指标3个，二级指标7个，三级指标15个。</w:t>
      </w:r>
    </w:p>
    <w:p w14:paraId="18CF450A">
      <w:pPr>
        <w:pStyle w:val="29"/>
        <w:spacing w:before="120"/>
        <w:ind w:left="0" w:leftChars="0" w:right="3"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二、绩效自评工作开展情况</w:t>
      </w:r>
    </w:p>
    <w:p w14:paraId="7A204BEF">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（一）绩效自评工作开展范围</w:t>
      </w:r>
    </w:p>
    <w:p w14:paraId="35B17365">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本次自评范围涵盖项目总体绩效目标、各项绩效指标完成情况以及预算执行情况。</w:t>
      </w:r>
    </w:p>
    <w:p w14:paraId="65F5781E">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（二）绩效自评工作对象</w:t>
      </w:r>
    </w:p>
    <w:p w14:paraId="16FE562C">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于田县2025年粮食产能提升项目阿热勒段场外水利骨干配套工程（二期）产出、综合效益等进行评价。</w:t>
      </w:r>
    </w:p>
    <w:p w14:paraId="65745275">
      <w:pPr>
        <w:pStyle w:val="52"/>
        <w:spacing w:line="560" w:lineRule="exact"/>
        <w:ind w:left="3" w:right="3"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（三）绩效自评工作方式</w:t>
      </w:r>
    </w:p>
    <w:p w14:paraId="1657885C">
      <w:pPr>
        <w:pStyle w:val="52"/>
        <w:spacing w:line="560" w:lineRule="exact"/>
        <w:ind w:left="3" w:right="3"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1.前期准备</w:t>
      </w:r>
    </w:p>
    <w:p w14:paraId="50C7DE57">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2023年，认真学习相关要求与规定，成立绩效自评工作组，作为绩效自评工作具体实施机构。成员构成如下：</w:t>
      </w:r>
    </w:p>
    <w:p w14:paraId="0A82A6EC">
      <w:pPr>
        <w:pStyle w:val="52"/>
        <w:spacing w:line="560" w:lineRule="exact"/>
        <w:ind w:left="3" w:right="3" w:firstLine="560"/>
        <w:rPr>
          <w:color w:val="auto"/>
          <w:highlight w:val="none"/>
        </w:rPr>
      </w:pPr>
      <w:r>
        <w:rPr>
          <w:rFonts w:hint="eastAsia" w:ascii="仿宋" w:hAnsi="仿宋" w:eastAsia="仿宋" w:cs="仿宋"/>
          <w:color w:val="auto"/>
          <w:kern w:val="2"/>
          <w:sz w:val="32"/>
          <w:szCs w:val="32"/>
          <w:lang w:val="en-US" w:eastAsia="zh-CN" w:bidi="ar-SA"/>
        </w:rPr>
        <w:t xml:space="preserve">组    长：李军   </w:t>
      </w:r>
      <w:r>
        <w:rPr>
          <w:rFonts w:hint="eastAsia"/>
          <w:color w:val="auto"/>
          <w:highlight w:val="none"/>
        </w:rPr>
        <w:t xml:space="preserve">                              </w:t>
      </w:r>
      <w:r>
        <w:rPr>
          <w:rFonts w:hint="eastAsia" w:ascii="仿宋" w:hAnsi="仿宋" w:eastAsia="仿宋" w:cs="仿宋"/>
          <w:b w:val="0"/>
          <w:bCs w:val="0"/>
          <w:color w:val="auto"/>
          <w:kern w:val="2"/>
          <w:sz w:val="32"/>
          <w:szCs w:val="32"/>
          <w:lang w:val="en-US" w:eastAsia="zh-CN" w:bidi="ar-SA"/>
        </w:rPr>
        <w:t>水利局局党委书记、局长</w:t>
      </w:r>
    </w:p>
    <w:p w14:paraId="54CE14CA">
      <w:pPr>
        <w:pStyle w:val="52"/>
        <w:spacing w:line="560" w:lineRule="exact"/>
        <w:ind w:left="0" w:leftChars="0" w:right="3" w:firstLine="640" w:firstLineChars="200"/>
        <w:rPr>
          <w:color w:val="auto"/>
          <w:highlight w:val="none"/>
        </w:rPr>
      </w:pPr>
      <w:r>
        <w:rPr>
          <w:rFonts w:hint="eastAsia" w:ascii="仿宋" w:hAnsi="仿宋" w:eastAsia="仿宋" w:cs="仿宋"/>
          <w:b w:val="0"/>
          <w:bCs w:val="0"/>
          <w:color w:val="auto"/>
          <w:kern w:val="2"/>
          <w:sz w:val="32"/>
          <w:szCs w:val="32"/>
          <w:lang w:val="en-US" w:eastAsia="zh-CN" w:bidi="ar-SA"/>
        </w:rPr>
        <w:t xml:space="preserve">副  组长：艾则孜·阿布都热西提    </w:t>
      </w:r>
      <w:r>
        <w:rPr>
          <w:rFonts w:hint="eastAsia"/>
          <w:color w:val="auto"/>
          <w:highlight w:val="none"/>
        </w:rPr>
        <w:t xml:space="preserve">         </w:t>
      </w:r>
      <w:r>
        <w:rPr>
          <w:rFonts w:hint="eastAsia" w:ascii="仿宋" w:hAnsi="仿宋" w:eastAsia="仿宋" w:cs="仿宋"/>
          <w:b w:val="0"/>
          <w:bCs w:val="0"/>
          <w:color w:val="auto"/>
          <w:kern w:val="2"/>
          <w:sz w:val="32"/>
          <w:szCs w:val="32"/>
          <w:lang w:val="en-US" w:eastAsia="zh-CN" w:bidi="ar-SA"/>
        </w:rPr>
        <w:t>水利局局副局长</w:t>
      </w:r>
    </w:p>
    <w:p w14:paraId="6A3DF62E">
      <w:pPr>
        <w:pStyle w:val="52"/>
        <w:spacing w:line="560" w:lineRule="exact"/>
        <w:ind w:left="3" w:right="3" w:firstLine="560"/>
        <w:rPr>
          <w:rFonts w:hint="eastAsia"/>
          <w:color w:val="auto"/>
          <w:highlight w:val="none"/>
          <w:lang w:val="en-US" w:eastAsia="zh-CN"/>
        </w:rPr>
      </w:pPr>
      <w:r>
        <w:rPr>
          <w:rFonts w:hint="eastAsia" w:ascii="仿宋" w:hAnsi="仿宋" w:eastAsia="仿宋" w:cs="仿宋"/>
          <w:b w:val="0"/>
          <w:bCs w:val="0"/>
          <w:color w:val="auto"/>
          <w:kern w:val="2"/>
          <w:sz w:val="32"/>
          <w:szCs w:val="32"/>
          <w:lang w:val="en-US" w:eastAsia="zh-CN" w:bidi="ar-SA"/>
        </w:rPr>
        <w:t xml:space="preserve">成    员：董江伟    </w:t>
      </w:r>
      <w:r>
        <w:rPr>
          <w:rFonts w:hint="eastAsia"/>
          <w:color w:val="auto"/>
          <w:highlight w:val="none"/>
        </w:rPr>
        <w:t xml:space="preserve">                                            </w:t>
      </w:r>
      <w:r>
        <w:rPr>
          <w:rFonts w:hint="eastAsia"/>
          <w:color w:val="auto"/>
          <w:highlight w:val="none"/>
          <w:lang w:val="en-US" w:eastAsia="zh-CN"/>
        </w:rPr>
        <w:t xml:space="preserve">       </w:t>
      </w:r>
      <w:r>
        <w:rPr>
          <w:rFonts w:hint="eastAsia" w:ascii="仿宋" w:hAnsi="仿宋" w:eastAsia="仿宋" w:cs="仿宋"/>
          <w:b w:val="0"/>
          <w:bCs w:val="0"/>
          <w:color w:val="auto"/>
          <w:kern w:val="2"/>
          <w:sz w:val="32"/>
          <w:szCs w:val="32"/>
          <w:lang w:val="en-US" w:eastAsia="zh-CN" w:bidi="ar-SA"/>
        </w:rPr>
        <w:t>项目班主任</w:t>
      </w:r>
    </w:p>
    <w:p w14:paraId="6C453E54">
      <w:pPr>
        <w:pStyle w:val="52"/>
        <w:spacing w:line="560" w:lineRule="exact"/>
        <w:ind w:right="3" w:firstLine="1600" w:firstLineChars="5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马晓庆   </w:t>
      </w:r>
      <w:r>
        <w:rPr>
          <w:rFonts w:hint="eastAsia"/>
          <w:color w:val="auto"/>
          <w:highlight w:val="none"/>
        </w:rPr>
        <w:t xml:space="preserve">                                             </w:t>
      </w:r>
      <w:r>
        <w:rPr>
          <w:rFonts w:hint="eastAsia" w:ascii="仿宋" w:hAnsi="仿宋" w:eastAsia="仿宋" w:cs="仿宋"/>
          <w:color w:val="auto"/>
          <w:kern w:val="2"/>
          <w:sz w:val="32"/>
          <w:szCs w:val="32"/>
          <w:lang w:val="en-US" w:eastAsia="zh-CN" w:bidi="ar-SA"/>
        </w:rPr>
        <w:t xml:space="preserve">       财务室科员</w:t>
      </w:r>
    </w:p>
    <w:p w14:paraId="74C61942">
      <w:pPr>
        <w:pStyle w:val="52"/>
        <w:spacing w:line="560" w:lineRule="exact"/>
        <w:ind w:right="3" w:firstLine="1600" w:firstLineChars="5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买吐送·依明    </w:t>
      </w:r>
      <w:r>
        <w:rPr>
          <w:rFonts w:hint="eastAsia"/>
          <w:color w:val="auto"/>
          <w:highlight w:val="none"/>
        </w:rPr>
        <w:t xml:space="preserve">                   </w:t>
      </w:r>
      <w:r>
        <w:rPr>
          <w:rFonts w:hint="eastAsia" w:ascii="仿宋" w:hAnsi="仿宋" w:eastAsia="仿宋" w:cs="仿宋"/>
          <w:color w:val="auto"/>
          <w:kern w:val="2"/>
          <w:sz w:val="32"/>
          <w:szCs w:val="32"/>
          <w:lang w:val="en-US" w:eastAsia="zh-CN" w:bidi="ar-SA"/>
        </w:rPr>
        <w:t>于田县质量监督站负责人</w:t>
      </w:r>
    </w:p>
    <w:p w14:paraId="5DBDD98A">
      <w:pPr>
        <w:pStyle w:val="52"/>
        <w:spacing w:line="560" w:lineRule="exact"/>
        <w:ind w:right="3" w:firstLine="1600" w:firstLineChars="500"/>
        <w:rPr>
          <w:color w:val="auto"/>
          <w:highlight w:val="none"/>
        </w:rPr>
      </w:pPr>
      <w:r>
        <w:rPr>
          <w:rFonts w:hint="eastAsia" w:ascii="仿宋" w:hAnsi="仿宋" w:eastAsia="仿宋" w:cs="仿宋"/>
          <w:b w:val="0"/>
          <w:bCs w:val="0"/>
          <w:color w:val="auto"/>
          <w:kern w:val="2"/>
          <w:sz w:val="32"/>
          <w:szCs w:val="32"/>
          <w:lang w:val="en-US" w:eastAsia="zh-CN" w:bidi="ar-SA"/>
        </w:rPr>
        <w:t xml:space="preserve">图孙古丽         </w:t>
      </w:r>
      <w:r>
        <w:rPr>
          <w:rFonts w:hint="eastAsia"/>
          <w:color w:val="auto"/>
          <w:highlight w:val="none"/>
        </w:rPr>
        <w:t xml:space="preserve">                                   </w:t>
      </w:r>
      <w:r>
        <w:rPr>
          <w:rFonts w:hint="eastAsia" w:ascii="仿宋" w:hAnsi="仿宋" w:eastAsia="仿宋" w:cs="仿宋"/>
          <w:color w:val="auto"/>
          <w:kern w:val="2"/>
          <w:sz w:val="32"/>
          <w:szCs w:val="32"/>
          <w:lang w:val="en-US" w:eastAsia="zh-CN" w:bidi="ar-SA"/>
        </w:rPr>
        <w:t>档案管理负责人</w:t>
      </w:r>
    </w:p>
    <w:p w14:paraId="560F7E80">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办公室负责项目的计划制定、实施，督查、指导相关单位共同做好项目管理工作。切实把该项目作为水利工程康建设的重要举措来抓，加强领导，明确分工，落实责任，密切配合，形成合力，推动该项目顺利实施。由水利局牵头，负责整个项目的统筹安排和经费使用管理工作，实现分级管理制度。</w:t>
      </w:r>
    </w:p>
    <w:p w14:paraId="0916A3BE">
      <w:pPr>
        <w:pStyle w:val="33"/>
        <w:spacing w:before="0" w:beforeLines="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2.组织实施</w:t>
      </w:r>
    </w:p>
    <w:p w14:paraId="0C885F74">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成立绩效自评工作组后，经评价组通过实地调研等方式，采用综合分析法对项目的决策、管理、绩效进行的综合评价分析。</w:t>
      </w:r>
    </w:p>
    <w:p w14:paraId="7E16E4EA">
      <w:pPr>
        <w:pStyle w:val="33"/>
        <w:spacing w:before="0" w:beforeLines="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3.分析评价。</w:t>
      </w:r>
    </w:p>
    <w:p w14:paraId="601B0E2A">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首先按照指标体系进行定量、定性分析。其次开展量化打分、综合评价工作，形成初步评价结论。最后归纳整体项目情况与存在问题，撰写绩效自评报告。</w:t>
      </w:r>
    </w:p>
    <w:p w14:paraId="7BDBE25B">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（1）绩效自评指标体系</w:t>
      </w:r>
    </w:p>
    <w:p w14:paraId="5B5D5F3C">
      <w:pPr>
        <w:pStyle w:val="52"/>
        <w:spacing w:line="560" w:lineRule="exact"/>
        <w:ind w:left="3" w:right="3" w:firstLine="560"/>
        <w:rPr>
          <w:color w:val="auto"/>
        </w:rPr>
      </w:pPr>
      <w:r>
        <w:rPr>
          <w:rFonts w:hint="eastAsia" w:ascii="仿宋" w:hAnsi="仿宋" w:eastAsia="仿宋" w:cs="仿宋"/>
          <w:color w:val="auto"/>
          <w:kern w:val="2"/>
          <w:sz w:val="32"/>
          <w:szCs w:val="32"/>
          <w:lang w:val="en-US" w:eastAsia="zh-CN" w:bidi="ar-SA"/>
        </w:rPr>
        <w:t>按照《自治区财政专项扶贫资金绩效管理操作指南》（新财预〔2019〕170号）文件要求，并根据项目各项指标重要程度确定二级指标的分值，并对核心指标赋予更高的权重。其中：数量指标25分、质量指标10分，时效指标5分、成本指标10分、经济效益指标0分、社会效益指标16分、生态效益指标0分、可持续影响指标14分、满意度指标10分、预算资金执行率10分，满分100分。</w:t>
      </w:r>
    </w:p>
    <w:p w14:paraId="75024115">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（2）绩效自评方法</w:t>
      </w:r>
    </w:p>
    <w:p w14:paraId="239DD15B">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本次绩效自评采用比较法和综合分析法对项目资金的使用管理、项目产出、综合效益等进行评价。</w:t>
      </w:r>
    </w:p>
    <w:p w14:paraId="6C5011BA">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（3）绩效自评标准</w:t>
      </w:r>
    </w:p>
    <w:p w14:paraId="370CABBB">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D4361CB">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（4）绩效自评等级</w:t>
      </w:r>
    </w:p>
    <w:p w14:paraId="1292CAA9">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绩效自评总分值100分，根据评分结果，90（含）-100分为优、80（含）-90分为良、60（含）-80分为中、60分以下为差。</w:t>
      </w:r>
    </w:p>
    <w:p w14:paraId="3EABEE95">
      <w:pPr>
        <w:pStyle w:val="52"/>
        <w:spacing w:line="560" w:lineRule="exact"/>
        <w:ind w:left="3" w:right="3"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三、绩效目标自评完成情况分析</w:t>
      </w:r>
    </w:p>
    <w:p w14:paraId="5006C53A">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（一）资金投入情况分析</w:t>
      </w:r>
    </w:p>
    <w:p w14:paraId="58108730">
      <w:pPr>
        <w:pStyle w:val="33"/>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1.项目资金到位情况分析</w:t>
      </w:r>
    </w:p>
    <w:p w14:paraId="0A3FF0CE">
      <w:pPr>
        <w:spacing w:line="580" w:lineRule="exact"/>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于田县2025年粮食产能提升项目阿热勒段场外水利骨干配套工程（二期）预算安排总额为29557.60万元，其中：乡村振兴资金5380.6万元，</w:t>
      </w:r>
      <w:r>
        <w:rPr>
          <w:rFonts w:hint="eastAsia" w:ascii="仿宋" w:hAnsi="仿宋" w:eastAsia="仿宋" w:cs="仿宋"/>
          <w:sz w:val="32"/>
          <w:szCs w:val="32"/>
          <w:lang w:val="en-US" w:eastAsia="zh-CN"/>
        </w:rPr>
        <w:t>其他资金24177.00万元。预算资金到位率为100%。</w:t>
      </w:r>
    </w:p>
    <w:p w14:paraId="47C524B6">
      <w:pPr>
        <w:pStyle w:val="52"/>
        <w:spacing w:line="560" w:lineRule="exact"/>
        <w:ind w:left="0" w:leftChars="0" w:right="3"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2.项目资金执行情况分析</w:t>
      </w:r>
    </w:p>
    <w:p w14:paraId="3659863B">
      <w:pPr>
        <w:pStyle w:val="52"/>
        <w:spacing w:line="560" w:lineRule="exact"/>
        <w:ind w:left="0" w:leftChars="0" w:right="3" w:firstLine="560"/>
        <w:rPr>
          <w:color w:val="auto"/>
          <w:highlight w:val="none"/>
        </w:rPr>
      </w:pPr>
      <w:r>
        <w:rPr>
          <w:rFonts w:hint="eastAsia" w:ascii="仿宋" w:hAnsi="仿宋" w:eastAsia="仿宋" w:cs="仿宋"/>
          <w:color w:val="auto"/>
          <w:kern w:val="2"/>
          <w:sz w:val="32"/>
          <w:szCs w:val="32"/>
          <w:lang w:val="en-US" w:eastAsia="zh-CN" w:bidi="ar-SA"/>
        </w:rPr>
        <w:t>于田县2025年粮食产能提升项目阿热勒段场外水</w:t>
      </w:r>
      <w:r>
        <w:rPr>
          <w:rFonts w:hint="eastAsia" w:ascii="仿宋" w:hAnsi="仿宋" w:eastAsia="仿宋" w:cs="仿宋"/>
          <w:b w:val="0"/>
          <w:bCs w:val="0"/>
          <w:color w:val="auto"/>
          <w:kern w:val="2"/>
          <w:sz w:val="32"/>
          <w:szCs w:val="32"/>
          <w:lang w:val="en-US" w:eastAsia="zh-CN" w:bidi="ar-SA"/>
        </w:rPr>
        <w:t>利骨干配套工程（二期）预算投入资金29557.60万元，项目实际支付投资9885.37万元，其中：工程成本9529.34万元,其他成本356.03万元；实际支出9885.37万元，预算资金执行率33.44%。</w:t>
      </w:r>
    </w:p>
    <w:p w14:paraId="28E458D9">
      <w:pPr>
        <w:pStyle w:val="33"/>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3.项目资金管理情况分析</w:t>
      </w:r>
    </w:p>
    <w:p w14:paraId="19BBC1B8">
      <w:pPr>
        <w:pStyle w:val="33"/>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5DA74565">
      <w:pPr>
        <w:pStyle w:val="33"/>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4.项目管理情况分析</w:t>
      </w:r>
    </w:p>
    <w:p w14:paraId="30D936C1">
      <w:pPr>
        <w:pStyle w:val="52"/>
        <w:spacing w:line="580" w:lineRule="exact"/>
        <w:ind w:left="0" w:leftChars="0"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在项目实施中，于田县水务服务中心 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B29B4C0">
      <w:pPr>
        <w:spacing w:line="58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（二）绩效目标完成情况分析</w:t>
      </w:r>
    </w:p>
    <w:p w14:paraId="41B55FB0">
      <w:pPr>
        <w:numPr>
          <w:ilvl w:val="0"/>
          <w:numId w:val="0"/>
        </w:numPr>
        <w:spacing w:line="58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工程截止2024年12月底，已完成改建阿羌干渠长度8.41千米，新建阿羌干渠延伸段渠道长度10.919千米，调蓄沉沙池引水渠长度1.55千米,新建灌区输水主干管长度8.01千米，本工程灌溉面积为3.15万亩。促进了灌区社会经济持续发展，提高和改善了人民生活水平。</w:t>
      </w:r>
    </w:p>
    <w:p w14:paraId="009710CE">
      <w:pPr>
        <w:pStyle w:val="52"/>
        <w:spacing w:line="58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本项目共设置一级指标3个，二级指标7个，三级指标15个，其中已完成三级指标10个，指标完成率为66.67%，指标完成情况分析如下：</w:t>
      </w:r>
    </w:p>
    <w:p w14:paraId="5DB6C93B">
      <w:pPr>
        <w:numPr>
          <w:ilvl w:val="0"/>
          <w:numId w:val="0"/>
        </w:numPr>
        <w:spacing w:line="58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1.产出指标完成情况分析</w:t>
      </w:r>
    </w:p>
    <w:p w14:paraId="1B30A252">
      <w:pPr>
        <w:numPr>
          <w:ilvl w:val="0"/>
          <w:numId w:val="0"/>
        </w:numPr>
        <w:spacing w:line="58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1.1项目完成数量</w:t>
      </w:r>
    </w:p>
    <w:p w14:paraId="1C4EA514">
      <w:pPr>
        <w:numPr>
          <w:ilvl w:val="0"/>
          <w:numId w:val="0"/>
        </w:numPr>
        <w:spacing w:line="58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“改建阿羌干渠长度”指标，预期指标值为大于等于8.41千米,全年实际值为8.41千米，指标完成率为100.00%;所设分值5分，实际得分5分。</w:t>
      </w:r>
    </w:p>
    <w:p w14:paraId="3AC0D742">
      <w:pPr>
        <w:numPr>
          <w:ilvl w:val="0"/>
          <w:numId w:val="0"/>
        </w:numPr>
        <w:spacing w:line="58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 “新建阿羌干渠延伸段渠道长度”指标，预期指标值为大于等于10.919公里,全年实际值为10.919公里，指标完成率为100.00%;所设分值5分，实际得分5分。</w:t>
      </w:r>
    </w:p>
    <w:p w14:paraId="5ACB4972">
      <w:pPr>
        <w:pStyle w:val="52"/>
        <w:spacing w:line="560" w:lineRule="exact"/>
        <w:ind w:left="0" w:leftChars="0"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“新建720万立方米预沉池(条形沉沙池）数量”指标，预期指标值为大于等于1座,全年实际值为0座，指标完成率为0%;所设分值5分，实际得分0分。</w:t>
      </w:r>
    </w:p>
    <w:p w14:paraId="57F1879F">
      <w:pPr>
        <w:pStyle w:val="52"/>
        <w:spacing w:line="560" w:lineRule="exact"/>
        <w:ind w:left="0" w:leftChars="0"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偏差原因：该工程已完成渠道建设，沉砂池标段2025年实施。</w:t>
      </w:r>
    </w:p>
    <w:p w14:paraId="3D97BAD9">
      <w:pPr>
        <w:pStyle w:val="52"/>
        <w:spacing w:line="560" w:lineRule="exact"/>
        <w:ind w:left="0" w:leftChars="0"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47E01237">
      <w:pPr>
        <w:pStyle w:val="52"/>
        <w:spacing w:line="560" w:lineRule="exact"/>
        <w:ind w:left="0" w:leftChars="0"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“调蓄沉沙池引水渠长度”指标，预期指标值为大于等于1.55千米,全年实际值为1.55千米，指标完成率为100.00%;所设分值5分，实际得分5分。</w:t>
      </w:r>
    </w:p>
    <w:p w14:paraId="7B7010B4">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“新建灌区输水主干管长度”指标，预期指标值为大于等于8.01千米,全年实际值为8.01千米，指标完成率为100.00%;所设分值5分，实际得分5分。</w:t>
      </w:r>
    </w:p>
    <w:p w14:paraId="78034AF8">
      <w:pPr>
        <w:pStyle w:val="52"/>
        <w:spacing w:line="560" w:lineRule="exact"/>
        <w:ind w:left="0" w:leftChars="0" w:right="0" w:rightChars="0"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 xml:space="preserve"> 1.2项目完成质量</w:t>
      </w:r>
    </w:p>
    <w:p w14:paraId="2855D59A">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“项目（工程）验收合格率”指标，预期指标值为等于100.00%,全年实际值为80%，指标完成率为80%。所设分值5分，实际得分4分。 </w:t>
      </w:r>
    </w:p>
    <w:p w14:paraId="7AC8F358">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01F15E8F">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61B5FEB2">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“引水渠设计流量（立方米/秒）”指标，预期指标值为等于1.85-3.7立方米/秒全年实际值为100.00%，指标完成率为等于1.85-3.7立方米/秒所设分值5分，实际得分5分。</w:t>
      </w:r>
    </w:p>
    <w:p w14:paraId="03B59087">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1.3项目完成时效</w:t>
      </w:r>
    </w:p>
    <w:p w14:paraId="00D48183">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“资金支付及时率”指标，预期指标值为等于100.00%,全年实际值为33.44%，指标完成率为33.44%。所设分值5分，实际得分1.67分。</w:t>
      </w:r>
    </w:p>
    <w:p w14:paraId="7C2F12EB">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561D9246">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0C96DD98">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1.4项目成本节约情况</w:t>
      </w:r>
    </w:p>
    <w:p w14:paraId="34792CA1">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为有效控制项目实施成本，我单位在实施项目前就该项目设定了成本控制指标，实施过程中我单位通过委托招标的方式有效降低了项目执行成本，具体指标设置及完成情况如下：</w:t>
      </w:r>
    </w:p>
    <w:p w14:paraId="0790AA60">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“工程成本”指标，预期指标值为小于等于27555.04万元/公里, 全年实际值为9529.34万元/公里，指标完成率为34.58%。所设分值5分，实际得分1.73分。</w:t>
      </w:r>
    </w:p>
    <w:p w14:paraId="4A4A5199">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偏差原因：该工程已完成渠道建设，沉砂池标段2025年实施，同时留有质保金未支付。</w:t>
      </w:r>
    </w:p>
    <w:p w14:paraId="37D2569E">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改进措施：加强项目管理，及时完成项目支付。按照乡村振兴衔接资金项目管理办法，加强对项目进度实时监督。持续发挥资产扶持效益，促进当地生态可持续发展。</w:t>
      </w:r>
    </w:p>
    <w:p w14:paraId="39D5F06C">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“其他成本”指标，预期指标值为小于等于2002.56万元万元, 全年实际值为356.03万元/公里，指标完成率为17.78%。所设分值5分，实际得分0.89分。</w:t>
      </w:r>
    </w:p>
    <w:p w14:paraId="6F6DAC1D">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偏差原因：该工程已完成到位资金5380.6万元，其他待摊投资2025年支付。</w:t>
      </w:r>
    </w:p>
    <w:p w14:paraId="66F88D6F">
      <w:pPr>
        <w:pStyle w:val="52"/>
        <w:spacing w:line="560" w:lineRule="exact"/>
        <w:ind w:left="0" w:leftChars="0" w:right="0" w:rightChars="0" w:firstLine="560"/>
        <w:rPr>
          <w:rFonts w:hint="eastAsia" w:ascii="Times New Roman" w:hAnsi="Times New Roman" w:eastAsia="仿宋_GB2312" w:cs="Times New Roman"/>
          <w:b w:val="0"/>
          <w:bCs w:val="0"/>
          <w:color w:val="auto"/>
          <w:kern w:val="2"/>
          <w:sz w:val="28"/>
          <w:szCs w:val="2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改进措施：加强项目管理，及时完成项目支付。按照乡村振兴衔接资金项目管理办法，加强对项目进度实时监督。持续发挥资产扶持效益，促进当地生态可持续发展。</w:t>
      </w:r>
    </w:p>
    <w:p w14:paraId="03889E4A">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2.效益指标完成情况分析</w:t>
      </w:r>
    </w:p>
    <w:p w14:paraId="37B6E7CC">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2.1项目实施的经济效益分析</w:t>
      </w:r>
    </w:p>
    <w:p w14:paraId="4C87E269">
      <w:pPr>
        <w:pStyle w:val="52"/>
        <w:spacing w:line="560" w:lineRule="exact"/>
        <w:ind w:left="0" w:leftChars="0" w:right="0" w:rightChars="0" w:firstLine="560"/>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该工程无经济效益。</w:t>
      </w:r>
    </w:p>
    <w:p w14:paraId="031CE634">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2.2项目实施的社会效益分析</w:t>
      </w:r>
    </w:p>
    <w:p w14:paraId="0D0DF443">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“促进灌区社会经济持续发展”指标，指标预期值为有效促进，实际完成值为有效促进，指标完成率为100.00%。所设分值8分，实际得分8分。</w:t>
      </w:r>
    </w:p>
    <w:p w14:paraId="6898F107">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“灌溉面积”指标，指标预期值为大于等于30000亩，实际完成值为3万亩，指标完成率为100.00%。所设分值8分，实际得分8分。</w:t>
      </w:r>
    </w:p>
    <w:p w14:paraId="63D1764E">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 xml:space="preserve"> 2.3项目实施的生态效益分析</w:t>
      </w:r>
    </w:p>
    <w:p w14:paraId="3FEB7061">
      <w:pPr>
        <w:pStyle w:val="52"/>
        <w:spacing w:line="560" w:lineRule="exact"/>
        <w:ind w:left="0" w:leftChars="0" w:right="0" w:rightChars="0" w:firstLine="560"/>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该工程无生态效益。</w:t>
      </w:r>
    </w:p>
    <w:p w14:paraId="41CF14E6">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2.4项目实施的可持续影响分析</w:t>
      </w:r>
    </w:p>
    <w:p w14:paraId="6AE24311">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“调蓄沉沙池、进水建筑物、放水兼放空建筑物合理使用年限”指标，指标预期值为大于等于50年，实际完成值为50年，指标完成率为100.00%。所设分值7分，实际得分7分。</w:t>
      </w:r>
    </w:p>
    <w:p w14:paraId="10E1D306">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“引水，供水工程可使用年限”指标，指标预期值为大于等于30年，实际完成值为30年，指标完成率为100.00%。所设分值7分，实际得分7分。</w:t>
      </w:r>
    </w:p>
    <w:p w14:paraId="220F77E6">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3.满意度指标完成情况分析</w:t>
      </w:r>
    </w:p>
    <w:p w14:paraId="68C1C8E7">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“受益人口满意度”指标，指标预期指标值为大于等于95%，实际完成值为96%，指标完成率为100.00%。所设分值10分，实际得分10分。</w:t>
      </w:r>
    </w:p>
    <w:p w14:paraId="2C418C38">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项目实施完成后我单位就该项目的满意度采取抽样发放调查问卷的方式开展调查，通过对调查问卷的梳理和统计，受益人口满意度指标综合满意率为96.00%。该项目属于水利建设，惠及民生，不产生经济效益。</w:t>
      </w:r>
    </w:p>
    <w:p w14:paraId="65A19068">
      <w:pPr>
        <w:pStyle w:val="52"/>
        <w:spacing w:line="560" w:lineRule="exact"/>
        <w:ind w:left="0" w:leftChars="0" w:right="0" w:rightChars="0"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四、偏离绩效目标的原因和下一步改进措施</w:t>
      </w:r>
    </w:p>
    <w:p w14:paraId="73437D80">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1.数量指标-“新建720万立方米预沉池(条形沉沙池）数量”指标：预期指标值为大于等于1座，全年实际值为0座，指标完成率为0%，所设分值5分，实际得分0分。</w:t>
      </w:r>
    </w:p>
    <w:p w14:paraId="4097372B">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偏差原因：该工程已完成渠道建设，沉砂池标段2025年实施。</w:t>
      </w:r>
    </w:p>
    <w:p w14:paraId="710FE45E">
      <w:pPr>
        <w:pStyle w:val="52"/>
        <w:spacing w:line="560" w:lineRule="exact"/>
        <w:ind w:left="0" w:leftChars="0" w:right="0" w:rightChars="0" w:firstLine="560"/>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3C110CD2">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2.质量指标-“项目（工程）验收合格率”指标：预期指标值为等于100%，全年实际值为80%，指标完成率为80%，所设分值5分，实际得分4分。</w:t>
      </w:r>
    </w:p>
    <w:p w14:paraId="249ED79B">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41CB8C93">
      <w:pPr>
        <w:pStyle w:val="52"/>
        <w:numPr>
          <w:ilvl w:val="0"/>
          <w:numId w:val="0"/>
        </w:numPr>
        <w:spacing w:line="560" w:lineRule="exact"/>
        <w:ind w:right="0" w:rightChars="0" w:firstLine="640" w:firstLineChars="200"/>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36C477CB">
      <w:pPr>
        <w:pStyle w:val="52"/>
        <w:spacing w:line="560" w:lineRule="exact"/>
        <w:ind w:left="0" w:leftChars="0" w:right="0" w:rightChars="0" w:firstLine="560"/>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3.时效指标-“资金支付及时率”指标：预期指标值为等于100%，全年实际值为33.44%，指标完成率为33.44%，所设分值5分，实际得分1.67分。</w:t>
      </w:r>
    </w:p>
    <w:p w14:paraId="6C90D666">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499148C5">
      <w:pPr>
        <w:pStyle w:val="52"/>
        <w:spacing w:line="560" w:lineRule="exact"/>
        <w:ind w:left="0" w:leftChars="0" w:right="0" w:rightChars="0"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改进措施：加强项目管理，加快项目实施进度，及时完成项目支付。</w:t>
      </w:r>
    </w:p>
    <w:p w14:paraId="7E87ECE7">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4.成本指标-“工程成本”指标：预期指标值为小于等于27555.04万元/公里, 全年实际值为9529.34万元，指标完成率为34.58%，所设分值5分，实际得分1.73分。</w:t>
      </w:r>
    </w:p>
    <w:p w14:paraId="09DE7E7C">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5577B0BE">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改进措施：加强项目管理，及时完成项目支付。按照乡村振兴衔接资金项目管理办法，加强对项目进度实时监督。持续发挥资产扶持效益，促进当地生态可持续发展。</w:t>
      </w:r>
    </w:p>
    <w:p w14:paraId="5B90C295">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5.成本指标-“其他成本”指标，预期指标值为小于等于2002.56万元, 全年实际值为356.03万元，指标完成率为17.78%，所设分值5分，实际得分0.89分。</w:t>
      </w:r>
    </w:p>
    <w:p w14:paraId="63CE7842">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偏差原因：该工程渠道建设已完成，沉砂池标段2025年实施，部分工程暂未完工，资金暂未支付。</w:t>
      </w:r>
    </w:p>
    <w:p w14:paraId="7AD82EFA">
      <w:pPr>
        <w:pStyle w:val="52"/>
        <w:numPr>
          <w:ilvl w:val="0"/>
          <w:numId w:val="0"/>
        </w:numPr>
        <w:spacing w:line="560" w:lineRule="exact"/>
        <w:ind w:right="0" w:rightChars="0"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改进措施：加强项目管理，及时完成项目支付。按照乡村振兴衔接资金项目管理办法，加强对项目进度实时监督。持续发挥资产扶持效益，促进当地生态可持续发展。</w:t>
      </w:r>
    </w:p>
    <w:p w14:paraId="1F92B7D9">
      <w:pPr>
        <w:pStyle w:val="29"/>
        <w:spacing w:before="120"/>
        <w:ind w:left="0" w:leftChars="0" w:right="3"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五、绩效自评结果拟应用和公开情况</w:t>
      </w:r>
    </w:p>
    <w:p w14:paraId="4AB182E1">
      <w:pPr>
        <w:pStyle w:val="33"/>
        <w:ind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本次评价通过文件研读、实地调研、数据采集、问卷调查方式下，全面了解于田县2025年粮食产能提升项目阿热勒段场外水利骨干配套工程（二期）资金的使用效率和效果，从而得出以下综合评价结论：在绩效目标方面，本项目共设置一级指标3个，二级指标7个，三级指标15个，其中已完成三级指标10个，指标完成率为66.67%；在资金使用方面，严格按照《于田县扶贫资金财务管理制度》、《于田县水利局财务管理制度》执行，保障了资金使用规范、安全，无挪用、截留资金的情况发生。在项目管理方面，制定了《于田县2025年粮食产能提升项目阿热勒段场外水利骨干配套工程（二期）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36DA3BB">
      <w:pPr>
        <w:pStyle w:val="33"/>
        <w:ind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项目最终得分为76.63分，评价等级为中。</w:t>
      </w:r>
    </w:p>
    <w:p w14:paraId="4E537FF6">
      <w:pPr>
        <w:pStyle w:val="33"/>
        <w:ind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（一）绩效自评结果拟应用情况</w:t>
      </w:r>
    </w:p>
    <w:p w14:paraId="5855DE46">
      <w:pPr>
        <w:pStyle w:val="52"/>
        <w:spacing w:line="560" w:lineRule="exact"/>
        <w:ind w:left="3"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7B44D1A">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（二）指标佐证材料说明</w:t>
      </w:r>
    </w:p>
    <w:p w14:paraId="027C3CCA">
      <w:pPr>
        <w:pStyle w:val="52"/>
        <w:spacing w:line="560" w:lineRule="exact"/>
        <w:ind w:left="3"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状况：该项目不存在立项，由于田县水务服务中心负责项目的实施方案，并由于田县乡村振兴局下发的《关于于田县2025年粮食产能提升项目阿热勒段场外水利骨干配套工程（二期）初步设计报告的批复》（于发改项目〔2024〕96号）。</w:t>
      </w:r>
    </w:p>
    <w:p w14:paraId="074289BF">
      <w:pPr>
        <w:pStyle w:val="52"/>
        <w:spacing w:line="560" w:lineRule="exact"/>
        <w:ind w:left="3"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资金状况：预算资金来源为乡村振兴资金，文件依据：《关于对于田县2025年粮食产能提升项目阿热勒段场外水利骨干配套工程（二期）初步设计报告的批复》（于发改项目〔2024〕96号）。</w:t>
      </w:r>
    </w:p>
    <w:p w14:paraId="0CA393E5">
      <w:pPr>
        <w:pStyle w:val="52"/>
        <w:spacing w:line="560" w:lineRule="exact"/>
        <w:ind w:left="3"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过程状况：该项目于2024年3月制订初步设计报告，于2024年3月22日得到批复，2024年3月 25日在新疆维吾尔自治区水利厅网发了招标公告。2023年3月25日经评定委员会评定:确定新疆明德惠泽工程项目管理有限公司为招标代理公司。据项目开工报告2024年5月1日开工，2024年7月30日完工。</w:t>
      </w:r>
    </w:p>
    <w:p w14:paraId="2BCAEDEC">
      <w:pPr>
        <w:pStyle w:val="52"/>
        <w:spacing w:line="560" w:lineRule="exact"/>
        <w:ind w:left="3" w:right="3" w:firstLine="56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结果状况：2024年12月15日，乡村振兴局牵头组织财政局，环保局，档案局，建设单位，施工单位、监理单位、质量和安全监督机构、项目运行单位联合开展完工验收，验收结果状况：合格。</w:t>
      </w:r>
    </w:p>
    <w:p w14:paraId="5EE00C84">
      <w:pPr>
        <w:pStyle w:val="52"/>
        <w:numPr>
          <w:ilvl w:val="0"/>
          <w:numId w:val="1"/>
        </w:numPr>
        <w:spacing w:line="560" w:lineRule="exact"/>
        <w:ind w:left="3" w:right="3" w:firstLine="56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主要经验及做法</w:t>
      </w:r>
    </w:p>
    <w:p w14:paraId="5EFCFC21">
      <w:pPr>
        <w:spacing w:line="56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2024年于田县2025年粮食产能提升项目阿热勒段场外水利骨干工程（二期）资金安排、使用过程中严格执行乡村振兴项目资金管理制度，确保乡村振兴项目正常运行为构建长效稳定奠定物质基础。</w:t>
      </w:r>
    </w:p>
    <w:p w14:paraId="528A42A7">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（四）存在的问题</w:t>
      </w:r>
    </w:p>
    <w:p w14:paraId="6FE1EF69">
      <w:pPr>
        <w:spacing w:line="56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2023年于田县2025年粮食产能提升项目阿热勒段场外水利骨干配套工程（二期）资金安排、使用过程中存在一些问题，主要是资金申报，审批，发放过程中存在对资金拨付缓慢问题。</w:t>
      </w:r>
    </w:p>
    <w:p w14:paraId="37E36F77">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（五）建议</w:t>
      </w:r>
    </w:p>
    <w:p w14:paraId="1F742C84">
      <w:pPr>
        <w:spacing w:line="56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403EE10">
      <w:pPr>
        <w:spacing w:line="560" w:lineRule="exact"/>
        <w:ind w:firstLine="643" w:firstLineChars="200"/>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（六）项目绩效公告公示情况</w:t>
      </w:r>
    </w:p>
    <w:p w14:paraId="27B27FE3">
      <w:pPr>
        <w:spacing w:line="560" w:lineRule="exact"/>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IDFont+F1">
    <w:altName w:val="Times New Roman"/>
    <w:panose1 w:val="00000000000000000000"/>
    <w:charset w:val="00"/>
    <w:family w:val="roman"/>
    <w:pitch w:val="default"/>
    <w:sig w:usb0="00000000" w:usb1="00000000" w:usb2="00000000"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583EBF5D">
        <w:pPr>
          <w:pStyle w:val="13"/>
          <w:jc w:val="center"/>
        </w:pPr>
        <w:r>
          <w:fldChar w:fldCharType="begin"/>
        </w:r>
        <w:r>
          <w:instrText xml:space="preserve">PAGE   \* MERGEFORMAT</w:instrText>
        </w:r>
        <w:r>
          <w:fldChar w:fldCharType="separate"/>
        </w:r>
        <w:r>
          <w:rPr>
            <w:lang w:val="zh-CN"/>
          </w:rPr>
          <w:t>1</w:t>
        </w:r>
        <w:r>
          <w:fldChar w:fldCharType="end"/>
        </w:r>
      </w:p>
    </w:sdtContent>
  </w:sdt>
  <w:p w14:paraId="111D19D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1B8D">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61BD67"/>
    <w:multiLevelType w:val="singleLevel"/>
    <w:tmpl w:val="6C61BD6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E3ZjhjMWEyYWRlOTJlNjVkOWMzMDdlYmQ2N2Q1OWEifQ=="/>
  </w:docVars>
  <w:rsids>
    <w:rsidRoot w:val="00B312FC"/>
    <w:rsid w:val="00005A8B"/>
    <w:rsid w:val="000260F1"/>
    <w:rsid w:val="00026982"/>
    <w:rsid w:val="00027FD4"/>
    <w:rsid w:val="000369C4"/>
    <w:rsid w:val="00044E24"/>
    <w:rsid w:val="00054312"/>
    <w:rsid w:val="00071ED9"/>
    <w:rsid w:val="00080041"/>
    <w:rsid w:val="00083077"/>
    <w:rsid w:val="00091C2E"/>
    <w:rsid w:val="000970E2"/>
    <w:rsid w:val="000A3F8B"/>
    <w:rsid w:val="000B4D75"/>
    <w:rsid w:val="000B68C8"/>
    <w:rsid w:val="000E0477"/>
    <w:rsid w:val="000E3E00"/>
    <w:rsid w:val="000F003D"/>
    <w:rsid w:val="000F5BA4"/>
    <w:rsid w:val="001302C1"/>
    <w:rsid w:val="001529B8"/>
    <w:rsid w:val="00192C9A"/>
    <w:rsid w:val="001C12C9"/>
    <w:rsid w:val="001C5A74"/>
    <w:rsid w:val="001D0046"/>
    <w:rsid w:val="001D7871"/>
    <w:rsid w:val="001F0A88"/>
    <w:rsid w:val="002073D6"/>
    <w:rsid w:val="00216DCD"/>
    <w:rsid w:val="00232469"/>
    <w:rsid w:val="002356F3"/>
    <w:rsid w:val="00237DAC"/>
    <w:rsid w:val="00243713"/>
    <w:rsid w:val="0025219B"/>
    <w:rsid w:val="002746C2"/>
    <w:rsid w:val="0028360D"/>
    <w:rsid w:val="00287819"/>
    <w:rsid w:val="002A49E9"/>
    <w:rsid w:val="002B362C"/>
    <w:rsid w:val="002C1B5A"/>
    <w:rsid w:val="002C6622"/>
    <w:rsid w:val="002C7BFC"/>
    <w:rsid w:val="002D4B4A"/>
    <w:rsid w:val="00303872"/>
    <w:rsid w:val="003416D6"/>
    <w:rsid w:val="00343C8B"/>
    <w:rsid w:val="0035619D"/>
    <w:rsid w:val="0036579B"/>
    <w:rsid w:val="0037545E"/>
    <w:rsid w:val="003B103E"/>
    <w:rsid w:val="003B2066"/>
    <w:rsid w:val="003B45C2"/>
    <w:rsid w:val="003D6089"/>
    <w:rsid w:val="003F7CD3"/>
    <w:rsid w:val="00407329"/>
    <w:rsid w:val="0042774A"/>
    <w:rsid w:val="00433105"/>
    <w:rsid w:val="0043529B"/>
    <w:rsid w:val="004447F6"/>
    <w:rsid w:val="00445698"/>
    <w:rsid w:val="00452A7B"/>
    <w:rsid w:val="004765F9"/>
    <w:rsid w:val="004D19E3"/>
    <w:rsid w:val="004E156F"/>
    <w:rsid w:val="004F278C"/>
    <w:rsid w:val="004F71F5"/>
    <w:rsid w:val="00502531"/>
    <w:rsid w:val="005033D8"/>
    <w:rsid w:val="00545496"/>
    <w:rsid w:val="005469CF"/>
    <w:rsid w:val="00561ADC"/>
    <w:rsid w:val="00586409"/>
    <w:rsid w:val="00596020"/>
    <w:rsid w:val="005B4348"/>
    <w:rsid w:val="005B7749"/>
    <w:rsid w:val="005D7C18"/>
    <w:rsid w:val="005F7D5D"/>
    <w:rsid w:val="00600873"/>
    <w:rsid w:val="00601C6E"/>
    <w:rsid w:val="00607547"/>
    <w:rsid w:val="00636600"/>
    <w:rsid w:val="00642C18"/>
    <w:rsid w:val="006605B3"/>
    <w:rsid w:val="00691EAA"/>
    <w:rsid w:val="00696A43"/>
    <w:rsid w:val="006C2EB3"/>
    <w:rsid w:val="006F23BE"/>
    <w:rsid w:val="00704F2C"/>
    <w:rsid w:val="00713A95"/>
    <w:rsid w:val="007658DB"/>
    <w:rsid w:val="007C4A7A"/>
    <w:rsid w:val="007D74B7"/>
    <w:rsid w:val="007F690F"/>
    <w:rsid w:val="0080022F"/>
    <w:rsid w:val="0081784A"/>
    <w:rsid w:val="008703E2"/>
    <w:rsid w:val="00881505"/>
    <w:rsid w:val="00897839"/>
    <w:rsid w:val="008A3305"/>
    <w:rsid w:val="008A49C0"/>
    <w:rsid w:val="008B044F"/>
    <w:rsid w:val="008B4230"/>
    <w:rsid w:val="008B47C9"/>
    <w:rsid w:val="008B6B8E"/>
    <w:rsid w:val="008C3711"/>
    <w:rsid w:val="008C3F3B"/>
    <w:rsid w:val="0091422D"/>
    <w:rsid w:val="0093300C"/>
    <w:rsid w:val="00941946"/>
    <w:rsid w:val="0094736A"/>
    <w:rsid w:val="00961026"/>
    <w:rsid w:val="00994541"/>
    <w:rsid w:val="00994E94"/>
    <w:rsid w:val="009C105D"/>
    <w:rsid w:val="009C2529"/>
    <w:rsid w:val="009D11ED"/>
    <w:rsid w:val="009D2DB1"/>
    <w:rsid w:val="00A1755C"/>
    <w:rsid w:val="00A20A41"/>
    <w:rsid w:val="00A233B8"/>
    <w:rsid w:val="00A2767E"/>
    <w:rsid w:val="00A2793F"/>
    <w:rsid w:val="00A300B0"/>
    <w:rsid w:val="00A416AC"/>
    <w:rsid w:val="00A65901"/>
    <w:rsid w:val="00A71644"/>
    <w:rsid w:val="00A75331"/>
    <w:rsid w:val="00AA0053"/>
    <w:rsid w:val="00AB34E0"/>
    <w:rsid w:val="00AB4406"/>
    <w:rsid w:val="00AD37C2"/>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51337"/>
    <w:rsid w:val="00D67F10"/>
    <w:rsid w:val="00D775A1"/>
    <w:rsid w:val="00D906E4"/>
    <w:rsid w:val="00DB1673"/>
    <w:rsid w:val="00DC00CB"/>
    <w:rsid w:val="00DE5C9F"/>
    <w:rsid w:val="00E20066"/>
    <w:rsid w:val="00E215D5"/>
    <w:rsid w:val="00E231E6"/>
    <w:rsid w:val="00E35D4C"/>
    <w:rsid w:val="00E36AF4"/>
    <w:rsid w:val="00E417AF"/>
    <w:rsid w:val="00E5760D"/>
    <w:rsid w:val="00E62F01"/>
    <w:rsid w:val="00E66C44"/>
    <w:rsid w:val="00E72FF5"/>
    <w:rsid w:val="00E952C7"/>
    <w:rsid w:val="00EA6493"/>
    <w:rsid w:val="00EB734B"/>
    <w:rsid w:val="00EE2F0B"/>
    <w:rsid w:val="00EF6EEF"/>
    <w:rsid w:val="00F4497B"/>
    <w:rsid w:val="00F52D23"/>
    <w:rsid w:val="00F562B9"/>
    <w:rsid w:val="00F66291"/>
    <w:rsid w:val="00F66C47"/>
    <w:rsid w:val="00F74F64"/>
    <w:rsid w:val="00F75FFF"/>
    <w:rsid w:val="00F83581"/>
    <w:rsid w:val="00FB7553"/>
    <w:rsid w:val="00FD1304"/>
    <w:rsid w:val="00FD470D"/>
    <w:rsid w:val="00FD4E1C"/>
    <w:rsid w:val="00FD65BA"/>
    <w:rsid w:val="00FE1B50"/>
    <w:rsid w:val="00FF1109"/>
    <w:rsid w:val="00FF78A5"/>
    <w:rsid w:val="0186096F"/>
    <w:rsid w:val="042F2A80"/>
    <w:rsid w:val="088B3500"/>
    <w:rsid w:val="0C1E06BC"/>
    <w:rsid w:val="0EAC5455"/>
    <w:rsid w:val="136727FD"/>
    <w:rsid w:val="174844BA"/>
    <w:rsid w:val="18942EC5"/>
    <w:rsid w:val="1AA45061"/>
    <w:rsid w:val="22F84D6E"/>
    <w:rsid w:val="2BA11CEF"/>
    <w:rsid w:val="2E700AB4"/>
    <w:rsid w:val="2EC62333"/>
    <w:rsid w:val="2FE94B97"/>
    <w:rsid w:val="37465815"/>
    <w:rsid w:val="394A2FEA"/>
    <w:rsid w:val="3BC648A9"/>
    <w:rsid w:val="3D486B76"/>
    <w:rsid w:val="42C7049C"/>
    <w:rsid w:val="43FD0BF6"/>
    <w:rsid w:val="46D117B2"/>
    <w:rsid w:val="48F331AB"/>
    <w:rsid w:val="4B255C51"/>
    <w:rsid w:val="4F95706E"/>
    <w:rsid w:val="51412F76"/>
    <w:rsid w:val="53C21F80"/>
    <w:rsid w:val="55610265"/>
    <w:rsid w:val="561F5757"/>
    <w:rsid w:val="576C6F4C"/>
    <w:rsid w:val="5C39666B"/>
    <w:rsid w:val="667A4BF3"/>
    <w:rsid w:val="670D0781"/>
    <w:rsid w:val="6886203D"/>
    <w:rsid w:val="6BD74C4E"/>
    <w:rsid w:val="6C2C2B56"/>
    <w:rsid w:val="700D2DDE"/>
    <w:rsid w:val="73574D4C"/>
    <w:rsid w:val="75055F93"/>
    <w:rsid w:val="77B44217"/>
    <w:rsid w:val="7ECC4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 w:type="character" w:customStyle="1" w:styleId="70">
    <w:name w:val="fontstyle01"/>
    <w:qFormat/>
    <w:uiPriority w:val="0"/>
    <w:rPr>
      <w:rFonts w:hint="default" w:ascii="CIDFont+F1" w:hAnsi="CIDFont+F1"/>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1F79-8F2E-49E8-B54F-007CDB5C349C}">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7574</Words>
  <Characters>8304</Characters>
  <Lines>56</Lines>
  <Paragraphs>15</Paragraphs>
  <TotalTime>16</TotalTime>
  <ScaleCrop>false</ScaleCrop>
  <LinksUpToDate>false</LinksUpToDate>
  <CharactersWithSpaces>8591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2025-12-15T09:49:12Z</dcterms:modified>
  <dc:title>C:\Users\Xueyang\Desktop\170号自评报告\57.艾力西湖镇巴扎（10）村花卉生产基地配套建设项目绩效自评报告.xlsx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B13A558D9D13490AB61906931B5F728B</vt:lpwstr>
  </property>
  <property fmtid="{D5CDD505-2E9C-101B-9397-08002B2CF9AE}" pid="4" name="KSOTemplateDocerSaveRecord">
    <vt:lpwstr>eyJoZGlkIjoiY2RlOGExMTJjOWFmYjNiZTJjMWUwNDM2NWFmZTM5NmEiLCJ1c2VySWQiOiIxMTAwNDE5NzU4In0=</vt:lpwstr>
  </property>
</Properties>
</file>